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687703">
        <w:rPr>
          <w:rFonts w:ascii="Tahoma" w:hAnsi="Tahoma" w:cs="Tahoma"/>
          <w:b/>
        </w:rPr>
        <w:t>1</w:t>
      </w:r>
      <w:r w:rsidR="00D037A4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D037A4">
        <w:rPr>
          <w:rFonts w:ascii="Tahoma" w:hAnsi="Tahoma" w:cs="Tahoma"/>
          <w:b/>
        </w:rPr>
        <w:t>2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687703">
        <w:rPr>
          <w:rFonts w:ascii="Tahoma" w:hAnsi="Tahoma" w:cs="Tahoma"/>
          <w:b/>
        </w:rPr>
        <w:t>1</w:t>
      </w:r>
      <w:r w:rsidR="00D037A4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D037A4">
        <w:rPr>
          <w:rFonts w:ascii="Tahoma" w:hAnsi="Tahoma" w:cs="Tahoma"/>
          <w:b/>
        </w:rPr>
        <w:t>2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F03AF4" w:rsidRDefault="00D037A4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кусковой А XII 1 ГОСТ Р 54564-2025, 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в количестве </w:t>
            </w:r>
            <w:r>
              <w:rPr>
                <w:rFonts w:ascii="Tahoma" w:hAnsi="Tahoma" w:cs="Tahoma"/>
                <w:sz w:val="20"/>
                <w:szCs w:val="20"/>
              </w:rPr>
              <w:t>10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 тонн (</w:t>
            </w:r>
            <w:proofErr w:type="spellStart"/>
            <w:r w:rsidRPr="005F16B6">
              <w:rPr>
                <w:rFonts w:ascii="Tahoma" w:hAnsi="Tahoma" w:cs="Tahoma"/>
                <w:sz w:val="20"/>
                <w:szCs w:val="20"/>
              </w:rPr>
              <w:t>толеранс</w:t>
            </w:r>
            <w:proofErr w:type="spellEnd"/>
            <w:r w:rsidRPr="005F16B6">
              <w:rPr>
                <w:rFonts w:ascii="Tahoma" w:hAnsi="Tahoma" w:cs="Tahoma"/>
                <w:sz w:val="20"/>
                <w:szCs w:val="20"/>
              </w:rPr>
              <w:t xml:space="preserve"> -5%/+</w:t>
            </w:r>
            <w:r>
              <w:rPr>
                <w:rFonts w:ascii="Tahoma" w:hAnsi="Tahoma" w:cs="Tahoma"/>
                <w:sz w:val="20"/>
                <w:szCs w:val="20"/>
              </w:rPr>
              <w:t>3</w:t>
            </w:r>
            <w:r w:rsidRPr="005F16B6">
              <w:rPr>
                <w:rFonts w:ascii="Tahoma" w:hAnsi="Tahoma" w:cs="Tahoma"/>
                <w:sz w:val="20"/>
                <w:szCs w:val="20"/>
              </w:rPr>
              <w:t>0</w:t>
            </w:r>
            <w:r>
              <w:rPr>
                <w:rFonts w:ascii="Tahoma" w:hAnsi="Tahoma" w:cs="Tahoma"/>
                <w:sz w:val="20"/>
                <w:szCs w:val="20"/>
              </w:rPr>
              <w:t>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E2AD2">
        <w:trPr>
          <w:trHeight w:val="10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D037A4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образован в результате производственной деятельности рудника «Северный». Состоит из калориферов и калориферных трубок, частично </w:t>
            </w:r>
            <w:r>
              <w:rPr>
                <w:rFonts w:ascii="Tahoma" w:hAnsi="Tahoma" w:cs="Tahoma"/>
                <w:sz w:val="20"/>
                <w:szCs w:val="20"/>
              </w:rPr>
              <w:br/>
              <w:t>не отделённых от рамы. В местонахождении указанного лома может присутствовать металлолом других марок, который необходимо исключить из погрузки. Необходимо довести до транспортабельного состояния и засора 1% (с учетом резки). При подаче автомашин под погрузку учитывать предельный размер ВИС «РС» по длине – не более 16 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D037A4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Заполярный, площадка временного хранения металлолома за скиповым стволом РС.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 xml:space="preserve"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</w:t>
            </w:r>
            <w:r w:rsidRPr="007D4AE1">
              <w:rPr>
                <w:rFonts w:ascii="Tahoma" w:hAnsi="Tahoma" w:cs="Tahoma"/>
                <w:spacing w:val="-5"/>
                <w:sz w:val="20"/>
              </w:rPr>
              <w:lastRenderedPageBreak/>
              <w:t>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D037A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D037A4">
              <w:rPr>
                <w:rFonts w:ascii="Tahoma" w:hAnsi="Tahoma" w:cs="Tahoma"/>
                <w:sz w:val="20"/>
                <w:szCs w:val="20"/>
              </w:rPr>
              <w:t>цветных</w:t>
            </w:r>
            <w:bookmarkStart w:id="0" w:name="_GoBack"/>
            <w:bookmarkEnd w:id="0"/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7D4AE1">
        <w:trPr>
          <w:trHeight w:val="1613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87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37A4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8785" fillcolor="white">
      <v:fill color="white"/>
    </o:shapedefaults>
    <o:shapelayout v:ext="edit">
      <o:idmap v:ext="edit" data="1"/>
    </o:shapelayout>
  </w:shapeDefaults>
  <w:decimalSymbol w:val=","/>
  <w:listSeparator w:val=";"/>
  <w14:docId w14:val="5AAEC320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4713D0-0E76-42B6-9BD1-DD20DCF2A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146</cp:revision>
  <cp:lastPrinted>2019-09-11T08:03:00Z</cp:lastPrinted>
  <dcterms:created xsi:type="dcterms:W3CDTF">2019-09-11T08:40:00Z</dcterms:created>
  <dcterms:modified xsi:type="dcterms:W3CDTF">2026-09-09T07:59:00Z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