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5F3AE2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5F3AE2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5F3AE2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5F3AE2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5F3AE2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54C2B">
              <w:rPr>
                <w:rFonts w:ascii="Tahoma" w:hAnsi="Tahoma" w:cs="Tahoma"/>
                <w:sz w:val="20"/>
                <w:szCs w:val="20"/>
              </w:rPr>
              <w:t>Лом и отходы стальные 5А ГОСТ 2787-2024, в количестве</w:t>
            </w:r>
            <w:r w:rsidRPr="000A21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0A2175">
              <w:rPr>
                <w:rFonts w:ascii="Tahoma" w:hAnsi="Tahoma" w:cs="Tahoma"/>
                <w:sz w:val="20"/>
                <w:szCs w:val="20"/>
              </w:rPr>
              <w:t xml:space="preserve">0 тонн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0A2175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5F3AE2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конструкции с длиной более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5F3AE2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74453A">
              <w:rPr>
                <w:rFonts w:ascii="Tahoma" w:hAnsi="Tahoma" w:cs="Tahoma"/>
                <w:sz w:val="20"/>
                <w:szCs w:val="20"/>
              </w:rPr>
              <w:t xml:space="preserve">. Никель, </w:t>
            </w:r>
            <w:r w:rsidRPr="00956BA1"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5F3AE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9. Особые требования</w:t>
            </w:r>
          </w:p>
          <w:p w:rsidR="005F3AE2" w:rsidRPr="005F3AE2" w:rsidRDefault="005F3AE2" w:rsidP="005F3AE2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5F3AE2" w:rsidRPr="005F3AE2" w:rsidRDefault="005F3AE2" w:rsidP="005F3AE2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- Наличие в собственности</w:t>
            </w:r>
            <w:bookmarkStart w:id="0" w:name="_GoBack"/>
            <w:bookmarkEnd w:id="0"/>
            <w:r w:rsidRPr="005F3AE2">
              <w:rPr>
                <w:rFonts w:ascii="Tahoma" w:hAnsi="Tahoma" w:cs="Tahoma"/>
              </w:rPr>
              <w:t xml:space="preserve">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5F3AE2" w:rsidRPr="005F3AE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5F3AE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F3AE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5F3AE2" w:rsidRPr="005F3AE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5F3AE2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5F3AE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F3AE2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5F3AE2">
              <w:rPr>
                <w:rFonts w:ascii="Tahoma" w:hAnsi="Tahoma" w:cs="Tahoma"/>
              </w:rPr>
              <w:t>ОТиПБ</w:t>
            </w:r>
            <w:proofErr w:type="spellEnd"/>
            <w:r w:rsidRPr="005F3AE2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5F3AE2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2C677B4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C225E-1497-492E-A570-5E5EB37C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