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2C09C8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2C09C8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2C09C8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2C09C8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2C09C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B0C03">
              <w:rPr>
                <w:rFonts w:ascii="Tahoma" w:hAnsi="Tahoma" w:cs="Tahoma"/>
                <w:sz w:val="20"/>
                <w:szCs w:val="20"/>
              </w:rPr>
              <w:t>Лом, отходы (Кабельная продукция)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2C09C8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07A9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  <w:r w:rsidRPr="00FB07A9">
              <w:rPr>
                <w:rFonts w:ascii="Tahoma" w:hAnsi="Tahoma" w:cs="Tahoma"/>
                <w:sz w:val="20"/>
                <w:szCs w:val="20"/>
              </w:rPr>
              <w:t>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7A9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7A9">
              <w:rPr>
                <w:rFonts w:ascii="Tahoma" w:hAnsi="Tahoma" w:cs="Tahoma"/>
                <w:sz w:val="20"/>
                <w:szCs w:val="20"/>
              </w:rPr>
              <w:t>переплетен между собой. Лом в некачественном виде,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7A9">
              <w:rPr>
                <w:rFonts w:ascii="Tahoma" w:hAnsi="Tahoma" w:cs="Tahoma"/>
                <w:sz w:val="20"/>
                <w:szCs w:val="20"/>
              </w:rPr>
              <w:t>довести до транспортабельного состояния (с учетом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2C09C8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09C8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6195897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CFC73-B555-478B-8DAE-F304E0C0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