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C63081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C63081">
        <w:rPr>
          <w:rFonts w:ascii="Tahoma" w:hAnsi="Tahoma" w:cs="Tahoma"/>
          <w:b/>
        </w:rPr>
        <w:t>0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C63081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C63081">
        <w:rPr>
          <w:rFonts w:ascii="Tahoma" w:hAnsi="Tahoma" w:cs="Tahoma"/>
          <w:b/>
        </w:rPr>
        <w:t>0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C63081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97E1B">
              <w:rPr>
                <w:rFonts w:ascii="Tahoma" w:hAnsi="Tahoma" w:cs="Tahoma"/>
                <w:sz w:val="20"/>
                <w:szCs w:val="20"/>
              </w:rPr>
              <w:t>Лом и отходы СБ22-5/1222-15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C63081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07C6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 Основная масса – выведенные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07C6">
              <w:rPr>
                <w:rFonts w:ascii="Tahoma" w:hAnsi="Tahoma" w:cs="Tahoma"/>
                <w:sz w:val="20"/>
                <w:szCs w:val="20"/>
              </w:rPr>
              <w:t xml:space="preserve">из эксплуатации изложницы металлургического производства. Хим. анализ не производился, рекомендуем произвести предварительный осмотр и экспресс </w:t>
            </w:r>
            <w:proofErr w:type="spellStart"/>
            <w:r w:rsidRPr="005407C6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5407C6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081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7B5F148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83F40-BC90-4BD3-973A-8265415A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