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C45F18" w:rsidRDefault="008328F8" w:rsidP="00C45F18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C45F18" w:rsidRPr="00C45F18">
              <w:rPr>
                <w:rFonts w:ascii="Tahoma" w:hAnsi="Tahoma" w:cs="Tahoma"/>
                <w:b/>
                <w:i w:val="0"/>
                <w:lang w:val="ru-RU"/>
              </w:rPr>
              <w:t>77</w:t>
            </w:r>
            <w:r w:rsidR="00854884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C45F18" w:rsidRPr="00C45F18">
              <w:rPr>
                <w:rFonts w:ascii="Tahoma" w:hAnsi="Tahoma" w:cs="Tahoma"/>
                <w:b/>
                <w:i w:val="0"/>
                <w:lang w:val="ru-RU"/>
              </w:rPr>
              <w:t>2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C45F18" w:rsidRPr="00C45F18">
              <w:rPr>
                <w:rFonts w:ascii="Tahoma" w:hAnsi="Tahoma" w:cs="Tahoma"/>
                <w:i w:val="0"/>
                <w:lang w:val="ru-RU"/>
              </w:rPr>
              <w:t xml:space="preserve">Лом и отходы чугун. 20А-Ч/21-15, в количестве 20 </w:t>
            </w:r>
            <w:proofErr w:type="spellStart"/>
            <w:r w:rsidR="00C45F18" w:rsidRPr="00C45F18">
              <w:rPr>
                <w:rFonts w:ascii="Tahoma" w:hAnsi="Tahoma" w:cs="Tahoma"/>
                <w:i w:val="0"/>
                <w:lang w:val="ru-RU"/>
              </w:rPr>
              <w:t>тн</w:t>
            </w:r>
            <w:proofErr w:type="spellEnd"/>
            <w:r w:rsidR="00C45F18" w:rsidRPr="00C45F18">
              <w:rPr>
                <w:rFonts w:ascii="Tahoma" w:hAnsi="Tahoma" w:cs="Tahoma"/>
                <w:i w:val="0"/>
                <w:lang w:val="ru-RU"/>
              </w:rPr>
              <w:t xml:space="preserve"> (</w:t>
            </w:r>
            <w:proofErr w:type="spellStart"/>
            <w:r w:rsidR="00C45F18" w:rsidRPr="00C45F18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C45F18" w:rsidRPr="00C45F18">
              <w:rPr>
                <w:rFonts w:ascii="Tahoma" w:hAnsi="Tahoma" w:cs="Tahoma"/>
                <w:i w:val="0"/>
                <w:lang w:val="ru-RU"/>
              </w:rPr>
              <w:t xml:space="preserve"> -5%/+20%)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155133" w:rsidRDefault="00C45F18" w:rsidP="00C45F18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56B5F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56B5F">
              <w:rPr>
                <w:rFonts w:ascii="Tahoma" w:hAnsi="Tahoma" w:cs="Tahoma"/>
                <w:sz w:val="20"/>
                <w:szCs w:val="20"/>
              </w:rPr>
              <w:t>деятельности, кусковой.</w:t>
            </w:r>
            <w:r w:rsidRPr="00A56B5F">
              <w:rPr>
                <w:sz w:val="20"/>
                <w:szCs w:val="20"/>
              </w:rPr>
              <w:t xml:space="preserve"> </w:t>
            </w:r>
            <w:r w:rsidRPr="00A56B5F">
              <w:rPr>
                <w:rFonts w:ascii="Tahoma" w:hAnsi="Tahoma" w:cs="Tahoma"/>
                <w:sz w:val="20"/>
                <w:szCs w:val="20"/>
              </w:rPr>
              <w:t xml:space="preserve">Лом </w:t>
            </w:r>
            <w:r>
              <w:rPr>
                <w:rFonts w:ascii="Tahoma" w:hAnsi="Tahoma" w:cs="Tahoma"/>
                <w:sz w:val="20"/>
                <w:szCs w:val="20"/>
              </w:rPr>
              <w:t xml:space="preserve">представляет собой массивную цельную плиту неправильной геометрической формы, приблизительным весом 18 т. (при планировании работ необходимо учесть указанную информацию). </w:t>
            </w:r>
            <w:r w:rsidRPr="00A56B5F">
              <w:rPr>
                <w:rFonts w:ascii="Tahoma" w:hAnsi="Tahoma" w:cs="Tahoma"/>
                <w:sz w:val="20"/>
                <w:szCs w:val="20"/>
              </w:rPr>
              <w:t>Необходимо довести до транспортабельного состояния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A56B5F">
              <w:rPr>
                <w:rFonts w:ascii="Tahoma" w:hAnsi="Tahoma" w:cs="Tahoma"/>
                <w:sz w:val="20"/>
                <w:szCs w:val="20"/>
              </w:rPr>
              <w:t>При подаче автомашин под</w:t>
            </w:r>
            <w:r>
              <w:rPr>
                <w:rFonts w:ascii="Tahoma" w:hAnsi="Tahoma" w:cs="Tahoma"/>
                <w:sz w:val="20"/>
                <w:szCs w:val="20"/>
              </w:rPr>
              <w:t xml:space="preserve"> погрузку </w:t>
            </w:r>
            <w:r w:rsidRPr="00A56B5F">
              <w:rPr>
                <w:rFonts w:ascii="Tahoma" w:hAnsi="Tahoma" w:cs="Tahoma"/>
                <w:sz w:val="20"/>
                <w:szCs w:val="20"/>
              </w:rPr>
              <w:t>учитывать предельный размер ВИС «РС» по длине – не более 16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56B5F">
              <w:rPr>
                <w:rFonts w:ascii="Tahoma" w:hAnsi="Tahoma" w:cs="Tahoma"/>
                <w:sz w:val="20"/>
                <w:szCs w:val="20"/>
              </w:rPr>
              <w:t>м.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C45F18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45F18">
              <w:rPr>
                <w:rFonts w:ascii="Tahoma" w:hAnsi="Tahoma" w:cs="Tahoma"/>
                <w:b/>
                <w:sz w:val="20"/>
                <w:szCs w:val="20"/>
                <w:lang w:val="en-US"/>
              </w:rPr>
              <w:t>27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C45F18">
              <w:rPr>
                <w:rFonts w:ascii="Tahoma" w:hAnsi="Tahoma" w:cs="Tahoma"/>
                <w:b/>
                <w:sz w:val="20"/>
                <w:szCs w:val="20"/>
                <w:lang w:val="en-US"/>
              </w:rPr>
              <w:t>01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.202</w:t>
            </w:r>
            <w:r w:rsidR="00C45F18">
              <w:rPr>
                <w:rFonts w:ascii="Tahoma" w:hAnsi="Tahoma" w:cs="Tahoma"/>
                <w:b/>
                <w:sz w:val="20"/>
                <w:szCs w:val="20"/>
                <w:lang w:val="en-US"/>
              </w:rPr>
              <w:t>5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C45F18" w:rsidP="0088229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г. Заполярный, </w:t>
            </w:r>
            <w:r w:rsidRPr="00111E54">
              <w:rPr>
                <w:rFonts w:ascii="Tahoma" w:hAnsi="Tahoma" w:cs="Tahoma"/>
                <w:sz w:val="20"/>
                <w:szCs w:val="20"/>
              </w:rPr>
              <w:t>территория склада №1095, ЦМТО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10. Требования к сертификации Продукции, </w:t>
            </w: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C45F1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 xml:space="preserve">Наличие лицензии на осуществление деятельности по заготовке, переработке и реализации лома </w:t>
            </w:r>
            <w:r w:rsidR="00A54DC3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5D7215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C45F1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r w:rsidR="00C45F18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bookmarkStart w:id="2" w:name="_GoBack"/>
      <w:bookmarkEnd w:id="2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C45F18" w:rsidRPr="00C45F18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77</w:t>
      </w:r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C45F18" w:rsidRPr="00C45F18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C45F18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C45F18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hdrShapeDefaults>
    <o:shapedefaults v:ext="edit" spidmax="27443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8F77DB"/>
    <w:rsid w:val="0090037E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45F18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4433" fillcolor="white">
      <v:fill color="white"/>
    </o:shapedefaults>
    <o:shapelayout v:ext="edit">
      <o:idmap v:ext="edit" data="1"/>
    </o:shapelayout>
  </w:shapeDefaults>
  <w:decimalSymbol w:val=","/>
  <w:listSeparator w:val=";"/>
  <w14:docId w14:val="61E56584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ED793E-11F7-48E6-83E7-5E49DC8C1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79</cp:revision>
  <cp:lastPrinted>2019-10-07T11:39:00Z</cp:lastPrinted>
  <dcterms:created xsi:type="dcterms:W3CDTF">2021-11-25T08:41:00Z</dcterms:created>
  <dcterms:modified xsi:type="dcterms:W3CDTF">2025-01-16T07:46:00Z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