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3418A0">
        <w:rPr>
          <w:rFonts w:ascii="Tahoma" w:hAnsi="Tahoma" w:cs="Tahoma"/>
          <w:b/>
          <w:color w:val="000000"/>
          <w:spacing w:val="-6"/>
          <w:sz w:val="22"/>
          <w:szCs w:val="22"/>
        </w:rPr>
        <w:t>19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3418A0">
        <w:rPr>
          <w:rFonts w:ascii="Tahoma" w:hAnsi="Tahoma" w:cs="Tahoma"/>
          <w:b/>
          <w:color w:val="000000"/>
          <w:spacing w:val="-6"/>
          <w:sz w:val="22"/>
          <w:szCs w:val="22"/>
        </w:rPr>
        <w:t>4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3418A0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</w:t>
      </w:r>
      <w:proofErr w:type="spellStart"/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>нерас</w:t>
      </w:r>
      <w:proofErr w:type="spellEnd"/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. 32АБ ГОСТ 2787-2024, в количестве 30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3418A0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18A0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D8593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2747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2026-09-09T08:13:00Z</dcterms:modified>
</cp:coreProperties>
</file>