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F1663E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/1</w:t>
      </w:r>
      <w:r w:rsidR="00F1663E">
        <w:rPr>
          <w:rFonts w:ascii="Tahoma" w:hAnsi="Tahoma" w:cs="Tahoma"/>
          <w:b/>
          <w:color w:val="000000"/>
          <w:spacing w:val="-6"/>
          <w:sz w:val="22"/>
          <w:szCs w:val="22"/>
        </w:rPr>
        <w:t>0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F1663E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F1663E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</w:t>
      </w:r>
      <w:proofErr w:type="spellStart"/>
      <w:r w:rsidRPr="00F1663E">
        <w:rPr>
          <w:rFonts w:ascii="Tahoma" w:hAnsi="Tahoma" w:cs="Tahoma"/>
          <w:b/>
          <w:color w:val="000000"/>
          <w:spacing w:val="-6"/>
          <w:sz w:val="22"/>
          <w:szCs w:val="22"/>
        </w:rPr>
        <w:t>нерас</w:t>
      </w:r>
      <w:proofErr w:type="spellEnd"/>
      <w:r w:rsidRPr="00F1663E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. 32АБ ГОСТ 2787-2024, в количестве 500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F1663E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F1663E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F1663E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F1663E" w:rsidRDefault="00DF4886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663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5545D7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2749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2026-09-09T09:09:00Z</dcterms:modified>
</cp:coreProperties>
</file>