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7A0726">
        <w:rPr>
          <w:rFonts w:ascii="Tahoma" w:hAnsi="Tahoma" w:cs="Tahoma"/>
          <w:b/>
          <w:szCs w:val="24"/>
          <w:u w:val="single"/>
        </w:rPr>
        <w:t xml:space="preserve"> 82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9D425B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3,0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9D425B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3,0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8C3ECF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8C3ECF">
        <w:rPr>
          <w:rFonts w:ascii="Tahoma" w:hAnsi="Tahoma" w:cs="Tahoma"/>
          <w:szCs w:val="24"/>
          <w:lang w:eastAsia="ar-SA"/>
        </w:rPr>
        <w:t>–</w:t>
      </w:r>
      <w:r w:rsidRPr="008C3ECF">
        <w:rPr>
          <w:rFonts w:ascii="Tahoma" w:hAnsi="Tahoma" w:cs="Tahoma"/>
          <w:szCs w:val="24"/>
          <w:lang w:eastAsia="ar-SA"/>
        </w:rPr>
        <w:t xml:space="preserve"> </w:t>
      </w:r>
      <w:r w:rsidR="00A25F6B">
        <w:rPr>
          <w:rFonts w:ascii="Tahoma" w:hAnsi="Tahoma" w:cs="Tahoma"/>
          <w:color w:val="FF0000"/>
          <w:szCs w:val="24"/>
          <w:lang w:eastAsia="ar-SA"/>
        </w:rPr>
        <w:t>10</w:t>
      </w:r>
      <w:r w:rsidR="00427A12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46E12">
        <w:rPr>
          <w:rFonts w:ascii="Tahoma" w:hAnsi="Tahoma" w:cs="Tahoma"/>
          <w:color w:val="FF0000"/>
          <w:szCs w:val="24"/>
          <w:lang w:eastAsia="ar-SA"/>
        </w:rPr>
        <w:t>июля</w:t>
      </w:r>
      <w:r w:rsidR="008E5327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8C3ECF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46E12">
        <w:rPr>
          <w:rFonts w:ascii="Tahoma" w:hAnsi="Tahoma" w:cs="Tahoma"/>
          <w:color w:val="FF0000"/>
          <w:szCs w:val="24"/>
          <w:lang w:eastAsia="ar-SA"/>
        </w:rPr>
        <w:t>2</w:t>
      </w:r>
      <w:r w:rsidR="00A25F6B">
        <w:rPr>
          <w:rFonts w:ascii="Tahoma" w:hAnsi="Tahoma" w:cs="Tahoma"/>
          <w:color w:val="FF0000"/>
          <w:szCs w:val="24"/>
          <w:lang w:eastAsia="ar-SA"/>
        </w:rPr>
        <w:t>7</w:t>
      </w:r>
      <w:r w:rsidR="00377904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46E12">
        <w:rPr>
          <w:rFonts w:ascii="Tahoma" w:hAnsi="Tahoma" w:cs="Tahoma"/>
          <w:color w:val="FF0000"/>
          <w:szCs w:val="24"/>
          <w:lang w:eastAsia="ar-SA"/>
        </w:rPr>
        <w:t>июл</w:t>
      </w:r>
      <w:r w:rsidR="00D46EFE">
        <w:rPr>
          <w:rFonts w:ascii="Tahoma" w:hAnsi="Tahoma" w:cs="Tahoma"/>
          <w:color w:val="FF0000"/>
          <w:szCs w:val="24"/>
          <w:lang w:eastAsia="ar-SA"/>
        </w:rPr>
        <w:t>я</w:t>
      </w:r>
      <w:r w:rsidR="00377904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  <w:bookmarkStart w:id="0" w:name="_GoBack"/>
      <w:bookmarkEnd w:id="0"/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A25F6B">
        <w:rPr>
          <w:rFonts w:ascii="Tahoma" w:hAnsi="Tahoma" w:cs="Tahoma"/>
          <w:color w:val="FF0000"/>
          <w:szCs w:val="24"/>
          <w:lang w:eastAsia="ar-SA"/>
        </w:rPr>
        <w:t>10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46E12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D651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A25F6B">
        <w:rPr>
          <w:rFonts w:ascii="Tahoma" w:hAnsi="Tahoma" w:cs="Tahoma"/>
          <w:color w:val="FF0000"/>
          <w:szCs w:val="24"/>
          <w:lang w:eastAsia="ar-SA"/>
        </w:rPr>
        <w:t>17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46E12">
        <w:rPr>
          <w:rFonts w:ascii="Tahoma" w:hAnsi="Tahoma" w:cs="Tahoma"/>
          <w:color w:val="FF0000"/>
          <w:szCs w:val="24"/>
          <w:lang w:eastAsia="ar-SA"/>
        </w:rPr>
        <w:t>августа</w:t>
      </w:r>
      <w:r w:rsidR="001D651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lux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,0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lux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3,0 М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AHTFZ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29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G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109095405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116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00015244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471998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01.06.2013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46E1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878 9</w:t>
      </w:r>
      <w:r w:rsidR="0037790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446E1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восемьсот семьдесят восемь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F76C1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446E12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девятьсот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37790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446E1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58</w:t>
      </w:r>
      <w:r w:rsidR="00D46EF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46E12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4</w:t>
      </w:r>
      <w:r w:rsidR="00D46EF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90</w:t>
      </w:r>
      <w:r w:rsidR="0037790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46EF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16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377904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ек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446E12">
        <w:rPr>
          <w:rFonts w:ascii="Tahoma" w:hAnsi="Tahoma" w:cs="Tahoma"/>
          <w:b/>
          <w:color w:val="000000"/>
          <w:szCs w:val="24"/>
          <w:lang w:eastAsia="ar-SA"/>
        </w:rPr>
        <w:t>8</w:t>
      </w:r>
      <w:r w:rsidR="00D46EFE">
        <w:rPr>
          <w:rFonts w:ascii="Tahoma" w:hAnsi="Tahoma" w:cs="Tahoma"/>
          <w:b/>
          <w:color w:val="000000"/>
          <w:szCs w:val="24"/>
          <w:lang w:eastAsia="ar-SA"/>
        </w:rPr>
        <w:t xml:space="preserve">7 </w:t>
      </w:r>
      <w:r w:rsidR="00446E12">
        <w:rPr>
          <w:rFonts w:ascii="Tahoma" w:hAnsi="Tahoma" w:cs="Tahoma"/>
          <w:b/>
          <w:color w:val="000000"/>
          <w:szCs w:val="24"/>
          <w:lang w:eastAsia="ar-SA"/>
        </w:rPr>
        <w:t>890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446E12">
        <w:rPr>
          <w:rFonts w:ascii="Tahoma" w:hAnsi="Tahoma" w:cs="Tahoma"/>
          <w:b/>
          <w:szCs w:val="24"/>
          <w:lang w:eastAsia="ar-SA"/>
        </w:rPr>
        <w:t xml:space="preserve">восемьдесят семь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 </w:t>
      </w:r>
      <w:r w:rsidR="00446E12">
        <w:rPr>
          <w:rFonts w:ascii="Tahoma" w:hAnsi="Tahoma" w:cs="Tahoma"/>
          <w:b/>
          <w:szCs w:val="24"/>
          <w:lang w:eastAsia="ar-SA"/>
        </w:rPr>
        <w:t>восемьсот девяносто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D42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116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D651B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77904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6E12"/>
    <w:rsid w:val="0044782E"/>
    <w:rsid w:val="004533CB"/>
    <w:rsid w:val="0046003C"/>
    <w:rsid w:val="004708B2"/>
    <w:rsid w:val="004772D8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A0726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3ECF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425B"/>
    <w:rsid w:val="009D73BD"/>
    <w:rsid w:val="009E03CD"/>
    <w:rsid w:val="009E3645"/>
    <w:rsid w:val="009F5A4B"/>
    <w:rsid w:val="00A10B1E"/>
    <w:rsid w:val="00A15743"/>
    <w:rsid w:val="00A25F6B"/>
    <w:rsid w:val="00A33C1A"/>
    <w:rsid w:val="00A378BD"/>
    <w:rsid w:val="00A4224F"/>
    <w:rsid w:val="00A455D1"/>
    <w:rsid w:val="00A4650B"/>
    <w:rsid w:val="00A55250"/>
    <w:rsid w:val="00A56B71"/>
    <w:rsid w:val="00A621C6"/>
    <w:rsid w:val="00A626E4"/>
    <w:rsid w:val="00A62C12"/>
    <w:rsid w:val="00A646A1"/>
    <w:rsid w:val="00A66FD5"/>
    <w:rsid w:val="00A7005D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61EE5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36639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6EFE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76C16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EEB18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4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256</cp:revision>
  <cp:lastPrinted>2021-10-28T06:39:00Z</cp:lastPrinted>
  <dcterms:created xsi:type="dcterms:W3CDTF">2018-08-01T08:26:00Z</dcterms:created>
  <dcterms:modified xsi:type="dcterms:W3CDTF">2026-07-08T18:34:00Z</dcterms:modified>
</cp:coreProperties>
</file>