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</w:t>
      </w:r>
      <w:r w:rsidR="00513CA8" w:rsidRPr="003F6386">
        <w:rPr>
          <w:rFonts w:ascii="Tahoma" w:hAnsi="Tahoma" w:cs="Tahoma"/>
          <w:b/>
          <w:szCs w:val="24"/>
          <w:u w:val="single"/>
        </w:rPr>
        <w:t xml:space="preserve">№ </w:t>
      </w:r>
      <w:r w:rsidR="003F6386" w:rsidRPr="003F6386">
        <w:rPr>
          <w:rFonts w:ascii="Tahoma" w:hAnsi="Tahoma" w:cs="Tahoma"/>
          <w:b/>
          <w:szCs w:val="24"/>
          <w:u w:val="single"/>
        </w:rPr>
        <w:t>66</w:t>
      </w:r>
      <w:r w:rsidR="00E316D2" w:rsidRPr="003F6386">
        <w:rPr>
          <w:rFonts w:ascii="Tahoma" w:hAnsi="Tahoma" w:cs="Tahoma"/>
          <w:b/>
          <w:szCs w:val="24"/>
          <w:u w:val="single"/>
        </w:rPr>
        <w:t>-РДИ</w:t>
      </w:r>
    </w:p>
    <w:p w:rsidR="00312F23" w:rsidRPr="00981EB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0A09AA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 w:rsidRPr="00F868E2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AD63A4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F868E2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981EB4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40 </w:t>
      </w:r>
      <w:r w:rsidR="00A62C12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</w:t>
      </w:r>
      <w:r w:rsidR="000A09AA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4</w:t>
      </w:r>
      <w:r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</w:t>
      </w:r>
      <w:r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0A09AA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2010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proofErr w:type="spellEnd"/>
      <w:r w:rsidR="009B3251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Pr="00981EB4" w:rsidRDefault="00312F23" w:rsidP="006E2C26">
      <w:pPr>
        <w:suppressAutoHyphens/>
        <w:spacing w:after="0"/>
        <w:rPr>
          <w:rFonts w:ascii="Tahoma" w:hAnsi="Tahoma" w:cs="Tahoma"/>
          <w:szCs w:val="24"/>
          <w:lang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981EB4" w:rsidRPr="00981EB4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F868E2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Camry</w:t>
      </w:r>
      <w:r w:rsidR="00981EB4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F868E2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V</w:t>
      </w:r>
      <w:r w:rsidR="00981EB4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40 2,4 АТ</w:t>
      </w:r>
      <w:r w:rsidR="00427845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81EB4" w:rsidRPr="00F868E2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2010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3F6386">
        <w:rPr>
          <w:rFonts w:ascii="Tahoma" w:hAnsi="Tahoma" w:cs="Tahoma"/>
          <w:color w:val="FF0000"/>
          <w:szCs w:val="24"/>
          <w:lang w:eastAsia="ar-SA"/>
        </w:rPr>
        <w:t>17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F6386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3F6386">
        <w:rPr>
          <w:rFonts w:ascii="Tahoma" w:hAnsi="Tahoma" w:cs="Tahoma"/>
          <w:color w:val="FF0000"/>
          <w:szCs w:val="24"/>
          <w:lang w:eastAsia="ar-SA"/>
        </w:rPr>
        <w:t>05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F6386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3F6386">
        <w:rPr>
          <w:rFonts w:ascii="Tahoma" w:hAnsi="Tahoma" w:cs="Tahoma"/>
          <w:color w:val="FF0000"/>
          <w:szCs w:val="24"/>
          <w:lang w:eastAsia="ar-SA"/>
        </w:rPr>
        <w:t>19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3F6386">
        <w:rPr>
          <w:rFonts w:ascii="Tahoma" w:hAnsi="Tahoma" w:cs="Tahoma"/>
          <w:color w:val="FF0000"/>
          <w:szCs w:val="24"/>
          <w:lang w:eastAsia="ar-SA"/>
        </w:rPr>
        <w:t>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3F6386">
        <w:rPr>
          <w:rFonts w:ascii="Tahoma" w:hAnsi="Tahoma" w:cs="Tahoma"/>
          <w:color w:val="FF0000"/>
          <w:szCs w:val="24"/>
          <w:lang w:eastAsia="ar-SA"/>
        </w:rPr>
        <w:t xml:space="preserve">23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3F6386">
        <w:rPr>
          <w:rFonts w:ascii="Tahoma" w:hAnsi="Tahoma" w:cs="Tahoma"/>
          <w:color w:val="FF0000"/>
          <w:szCs w:val="24"/>
          <w:lang w:eastAsia="ar-SA"/>
        </w:rPr>
        <w:t>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9419DF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3F6386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A53857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A53857" w:rsidRPr="00A53857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F868E2">
        <w:rPr>
          <w:rFonts w:ascii="Tahoma" w:hAnsi="Tahoma" w:cs="Tahoma"/>
          <w:szCs w:val="24"/>
          <w:shd w:val="clear" w:color="auto" w:fill="FFFFFF"/>
          <w:lang w:val="en-US" w:eastAsia="ar-SA"/>
        </w:rPr>
        <w:t>Camry</w:t>
      </w:r>
      <w:r w:rsidR="00A53857" w:rsidRPr="00F868E2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F868E2">
        <w:rPr>
          <w:rFonts w:ascii="Tahoma" w:hAnsi="Tahoma" w:cs="Tahoma"/>
          <w:szCs w:val="24"/>
          <w:shd w:val="clear" w:color="auto" w:fill="FFFFFF"/>
          <w:lang w:val="en-US" w:eastAsia="ar-SA"/>
        </w:rPr>
        <w:t>V</w:t>
      </w:r>
      <w:r w:rsidR="00A53857" w:rsidRPr="00F868E2">
        <w:rPr>
          <w:rFonts w:ascii="Tahoma" w:hAnsi="Tahoma" w:cs="Tahoma"/>
          <w:szCs w:val="24"/>
          <w:shd w:val="clear" w:color="auto" w:fill="FFFFFF"/>
          <w:lang w:eastAsia="ar-SA"/>
        </w:rPr>
        <w:t xml:space="preserve"> 40 2,4</w:t>
      </w:r>
      <w:r w:rsidR="005D09FF" w:rsidRPr="00F868E2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A53857" w:rsidRPr="00F868E2">
        <w:rPr>
          <w:rFonts w:ascii="Tahoma" w:hAnsi="Tahoma" w:cs="Tahoma"/>
          <w:szCs w:val="24"/>
          <w:shd w:val="clear" w:color="auto" w:fill="FFFFFF"/>
          <w:lang w:eastAsia="ar-SA"/>
        </w:rPr>
        <w:t>АТ 2010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C80CE7">
        <w:rPr>
          <w:rFonts w:ascii="Tahoma" w:eastAsia="Arial" w:hAnsi="Tahoma" w:cs="Tahoma"/>
          <w:szCs w:val="24"/>
          <w:shd w:val="clear" w:color="auto" w:fill="FFFFFF"/>
          <w:lang w:eastAsia="ar-SA"/>
        </w:rPr>
        <w:t>Мончегорск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53857">
        <w:rPr>
          <w:rFonts w:ascii="Tahoma" w:eastAsia="Arial" w:hAnsi="Tahoma" w:cs="Tahoma"/>
          <w:szCs w:val="24"/>
          <w:shd w:val="clear" w:color="auto" w:fill="FFFFFF"/>
          <w:lang w:eastAsia="ar-SA"/>
        </w:rPr>
        <w:t>Комсомольская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A5385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1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5385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913019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913019" w:rsidRPr="0091301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13019" w:rsidRPr="00F868E2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Camry</w:t>
      </w:r>
      <w:r w:rsidR="00913019" w:rsidRPr="00F868E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13019" w:rsidRPr="00F868E2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V</w:t>
      </w:r>
      <w:r w:rsidR="00913019" w:rsidRPr="00F868E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40</w:t>
      </w:r>
      <w:r w:rsidR="00AD63A4" w:rsidRPr="00F868E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F868E2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913019" w:rsidRPr="00F868E2">
        <w:rPr>
          <w:rFonts w:ascii="Tahoma" w:eastAsia="Arial" w:hAnsi="Tahoma" w:cs="Tahoma"/>
          <w:szCs w:val="24"/>
          <w:shd w:val="clear" w:color="auto" w:fill="FFFFFF"/>
          <w:lang w:eastAsia="ar-SA"/>
        </w:rPr>
        <w:t>4</w:t>
      </w:r>
      <w:r w:rsidR="009435F2" w:rsidRPr="00F868E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13019" w:rsidRPr="00F868E2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A</w:t>
      </w:r>
      <w:r w:rsidR="009435F2" w:rsidRPr="00F868E2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F868E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13019" w:rsidRPr="00F868E2">
        <w:rPr>
          <w:rFonts w:ascii="Tahoma" w:eastAsia="Arial" w:hAnsi="Tahoma" w:cs="Tahoma"/>
          <w:szCs w:val="24"/>
          <w:shd w:val="clear" w:color="auto" w:fill="FFFFFF"/>
          <w:lang w:eastAsia="ar-SA"/>
        </w:rPr>
        <w:t>2010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XW</w:t>
      </w:r>
      <w:r w:rsidR="00913019" w:rsidRP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7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BE</w:t>
      </w:r>
      <w:r w:rsidR="00913019" w:rsidRP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40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K</w:t>
      </w:r>
      <w:r w:rsidR="00913019" w:rsidRP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20</w:t>
      </w:r>
      <w:r w:rsidR="00913019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S</w:t>
      </w:r>
      <w:r w:rsidR="00913019" w:rsidRP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014336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К 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110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КУ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О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913019">
        <w:rPr>
          <w:rFonts w:ascii="Tahoma" w:eastAsia="Arial" w:hAnsi="Tahoma" w:cs="Tahoma"/>
          <w:szCs w:val="24"/>
          <w:shd w:val="clear" w:color="auto" w:fill="FFFFFF"/>
          <w:lang w:eastAsia="ar-SA"/>
        </w:rPr>
        <w:t>-000251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3F6386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НА</w:t>
      </w:r>
      <w:r w:rsidR="00222209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077172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18.02.2010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F6386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F6386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249</w:t>
      </w:r>
      <w:r w:rsidR="00B85BA5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3F6386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3F638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3F6386" w:rsidRPr="003F638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двести сорок девять </w:t>
      </w:r>
      <w:r w:rsidR="007C19A1" w:rsidRPr="003F638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3F638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3F638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3F6386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3F6386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41</w:t>
      </w:r>
      <w:r w:rsidR="00185B59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91164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500</w:t>
      </w:r>
      <w:r w:rsidR="007C19A1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D91164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5678B7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3F6386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3F6386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5678B7">
        <w:rPr>
          <w:rFonts w:ascii="Tahoma" w:hAnsi="Tahoma" w:cs="Tahoma"/>
          <w:color w:val="000000"/>
          <w:szCs w:val="24"/>
          <w:lang w:eastAsia="ar-SA"/>
        </w:rPr>
        <w:t>задатка</w:t>
      </w:r>
      <w:r w:rsidRPr="003F6386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3F6386" w:rsidRPr="003F6386">
        <w:rPr>
          <w:rFonts w:ascii="Tahoma" w:hAnsi="Tahoma" w:cs="Tahoma"/>
          <w:b/>
          <w:color w:val="000000"/>
          <w:szCs w:val="24"/>
          <w:lang w:eastAsia="ar-SA"/>
        </w:rPr>
        <w:t>24 900</w:t>
      </w:r>
      <w:r w:rsidRPr="003F6386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3F6386">
        <w:rPr>
          <w:rFonts w:ascii="Tahoma" w:hAnsi="Tahoma" w:cs="Tahoma"/>
          <w:b/>
          <w:szCs w:val="24"/>
          <w:lang w:eastAsia="ar-SA"/>
        </w:rPr>
        <w:t>(</w:t>
      </w:r>
      <w:r w:rsidR="003F6386" w:rsidRPr="003F6386">
        <w:rPr>
          <w:rFonts w:ascii="Tahoma" w:hAnsi="Tahoma" w:cs="Tahoma"/>
          <w:b/>
          <w:szCs w:val="24"/>
          <w:lang w:eastAsia="ar-SA"/>
        </w:rPr>
        <w:t xml:space="preserve">двадцать четыре </w:t>
      </w:r>
      <w:r w:rsidR="007C19A1" w:rsidRPr="003F6386">
        <w:rPr>
          <w:rFonts w:ascii="Tahoma" w:hAnsi="Tahoma" w:cs="Tahoma"/>
          <w:b/>
          <w:szCs w:val="24"/>
          <w:lang w:eastAsia="ar-SA"/>
        </w:rPr>
        <w:t>ты</w:t>
      </w:r>
      <w:r w:rsidR="00312B7D" w:rsidRPr="003F6386">
        <w:rPr>
          <w:rFonts w:ascii="Tahoma" w:hAnsi="Tahoma" w:cs="Tahoma"/>
          <w:b/>
          <w:szCs w:val="24"/>
          <w:lang w:eastAsia="ar-SA"/>
        </w:rPr>
        <w:t>сяч</w:t>
      </w:r>
      <w:r w:rsidR="003F6386" w:rsidRPr="003F6386">
        <w:rPr>
          <w:rFonts w:ascii="Tahoma" w:hAnsi="Tahoma" w:cs="Tahoma"/>
          <w:b/>
          <w:szCs w:val="24"/>
          <w:lang w:eastAsia="ar-SA"/>
        </w:rPr>
        <w:t>и</w:t>
      </w:r>
      <w:r w:rsidR="006F0218" w:rsidRPr="003F6386">
        <w:rPr>
          <w:rFonts w:ascii="Tahoma" w:hAnsi="Tahoma" w:cs="Tahoma"/>
          <w:b/>
          <w:szCs w:val="24"/>
          <w:lang w:eastAsia="ar-SA"/>
        </w:rPr>
        <w:t xml:space="preserve"> </w:t>
      </w:r>
      <w:r w:rsidR="003F6386" w:rsidRPr="003F6386">
        <w:rPr>
          <w:rFonts w:ascii="Tahoma" w:hAnsi="Tahoma" w:cs="Tahoma"/>
          <w:b/>
          <w:szCs w:val="24"/>
          <w:lang w:eastAsia="ar-SA"/>
        </w:rPr>
        <w:t>девятьсот</w:t>
      </w:r>
      <w:r w:rsidRPr="003F6386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3F6386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3F6386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E93466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110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</w:t>
      </w:r>
      <w:bookmarkStart w:id="0" w:name="_GoBack"/>
      <w:bookmarkEnd w:id="0"/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A09AA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3F6386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943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13019"/>
    <w:rsid w:val="009419DF"/>
    <w:rsid w:val="009435F2"/>
    <w:rsid w:val="00944924"/>
    <w:rsid w:val="0095265F"/>
    <w:rsid w:val="0097368A"/>
    <w:rsid w:val="00980CF1"/>
    <w:rsid w:val="00981EB4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3857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0CE7"/>
    <w:rsid w:val="00C832DC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93466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868E2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2E78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230</cp:revision>
  <cp:lastPrinted>2021-10-28T06:39:00Z</cp:lastPrinted>
  <dcterms:created xsi:type="dcterms:W3CDTF">2018-08-01T08:26:00Z</dcterms:created>
  <dcterms:modified xsi:type="dcterms:W3CDTF">2025-04-08T14:05:00Z</dcterms:modified>
</cp:coreProperties>
</file>